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EF28" w14:textId="5307FA52" w:rsidR="00F92FD3" w:rsidRPr="00CD7B18" w:rsidRDefault="00CD7B18">
      <w:pPr>
        <w:rPr>
          <w:b/>
          <w:bCs/>
        </w:rPr>
      </w:pPr>
      <w:r w:rsidRPr="00CD7B18">
        <w:rPr>
          <w:b/>
          <w:bCs/>
        </w:rPr>
        <w:t xml:space="preserve">What is the Work Opportunity Tax Credit? </w:t>
      </w:r>
    </w:p>
    <w:p w14:paraId="6CDD4297" w14:textId="5501A62E" w:rsidR="00CD7B18" w:rsidRDefault="00F40784" w:rsidP="00CD7B18">
      <w:r>
        <w:t>The Work Opportunity Tax Credit (WOTC) is a federal income tax credit available to businesses under Section 51 of the Internal Revenue Code. It’s jointly overseen by the Internal Revenue Service (IRS) and the Department of Labor (DOL), and it encourages employers to hire individuals from certain targeted groups that have historically faced substantial obstacles to securing employment.</w:t>
      </w:r>
    </w:p>
    <w:p w14:paraId="7F5094AF" w14:textId="77777777" w:rsidR="00CD7B18" w:rsidRDefault="00CD7B18" w:rsidP="00CD7B18">
      <w:r w:rsidRPr="00F92FD3">
        <w:t>Employers must apply for and receive a certification verifying the </w:t>
      </w:r>
      <w:r w:rsidRPr="00F92FD3">
        <w:rPr>
          <w:b/>
          <w:bCs/>
        </w:rPr>
        <w:t>new hire</w:t>
      </w:r>
      <w:r w:rsidRPr="00F92FD3">
        <w:t> is a member of a targeted group before they can claim the tax credit. After the required certification is secured, taxable employers claim the WOTC as a general business credit against their income taxes, and tax-exempt employers claim the WOTC against their payroll taxes.</w:t>
      </w:r>
    </w:p>
    <w:p w14:paraId="125D76E1" w14:textId="0E0092B1" w:rsidR="00CD7B18" w:rsidRPr="00CD7B18" w:rsidRDefault="00F92FD3">
      <w:pPr>
        <w:rPr>
          <w:b/>
          <w:bCs/>
        </w:rPr>
      </w:pPr>
      <w:r w:rsidRPr="00CD7B18">
        <w:rPr>
          <w:b/>
          <w:bCs/>
        </w:rPr>
        <w:t xml:space="preserve">WOTC </w:t>
      </w:r>
      <w:r w:rsidR="00844A28">
        <w:rPr>
          <w:b/>
          <w:bCs/>
        </w:rPr>
        <w:t>Targeted Groups</w:t>
      </w:r>
    </w:p>
    <w:p w14:paraId="51E54C47" w14:textId="59829C74" w:rsidR="00F92FD3" w:rsidRDefault="00AE0653">
      <w:r>
        <w:t>Targeted groups</w:t>
      </w:r>
      <w:r w:rsidR="00F92FD3" w:rsidRPr="00F92FD3">
        <w:t xml:space="preserve"> include: 1) Qualified IV-A ("TANF") recipient; 2) Qualified Veteran; 3) Qualified Ex-Felon; 4) Designated Community Resident; 5) Vocational Rehabilitation Referral; 6) Summer Youth Employee; 7) Supplemental Nutrition Assistance Program (SNAP or "food stamps") recipient; 8) Supplemental Security Income (SSI) recipient; 9) Long-term Family Assistance (Long-term TANF) recipient; and 10) Qualified Long-term Unemployment recipient</w:t>
      </w:r>
      <w:r>
        <w:t>.</w:t>
      </w:r>
    </w:p>
    <w:p w14:paraId="7A3CE83C" w14:textId="07C986A2" w:rsidR="00F92FD3" w:rsidRPr="00CD7B18" w:rsidRDefault="00844A28">
      <w:pPr>
        <w:rPr>
          <w:b/>
          <w:bCs/>
        </w:rPr>
      </w:pPr>
      <w:r>
        <w:rPr>
          <w:b/>
          <w:bCs/>
        </w:rPr>
        <w:t>Benefits to Employers</w:t>
      </w:r>
    </w:p>
    <w:p w14:paraId="0C2706BB" w14:textId="049599E0" w:rsidR="00F92FD3" w:rsidRDefault="00F92FD3">
      <w:r w:rsidRPr="00F92FD3">
        <w:t>The credit available ranges from $2,400 up to $9,600, depending on the targeted group and qualified wages paid to the new employee generally during the first year of employment. Generally, the credit is 40% of qualified first-year wages for individuals who work 400+ hours in their first year of employment.</w:t>
      </w:r>
    </w:p>
    <w:p w14:paraId="0318989B" w14:textId="7DC56C6F" w:rsidR="00F92FD3" w:rsidRDefault="00844A28">
      <w:pPr>
        <w:rPr>
          <w:b/>
          <w:bCs/>
        </w:rPr>
      </w:pPr>
      <w:r w:rsidRPr="00844A28">
        <w:rPr>
          <w:b/>
          <w:bCs/>
        </w:rPr>
        <w:t>Simplifying Tax Credit Screening in the Hiring Workflow</w:t>
      </w:r>
      <w:r>
        <w:rPr>
          <w:b/>
          <w:bCs/>
        </w:rPr>
        <w:t xml:space="preserve"> through OneSource</w:t>
      </w:r>
    </w:p>
    <w:p w14:paraId="564D7359" w14:textId="0FAD8D36" w:rsidR="00844A28" w:rsidRDefault="00844A28">
      <w:r>
        <w:t>The HireCredit WOTC Integration product prompts candidates to complete an interactive WOTC Qualification Survey during the application process. Based on how applicants answer the questions, they will potentially be displayed different questions to answer on a following page. After survey completion, HireCredit evaluates each candidate, and notifies your company if the applicant qualifies for tax credits.</w:t>
      </w:r>
    </w:p>
    <w:p w14:paraId="2A4B07D5" w14:textId="63D943DC" w:rsidR="00844A28" w:rsidRDefault="00844A28">
      <w:proofErr w:type="gramStart"/>
      <w:r>
        <w:t>Want</w:t>
      </w:r>
      <w:proofErr w:type="gramEnd"/>
      <w:r>
        <w:t xml:space="preserve"> to explore how this can work for your company? Reach out to Jimmy</w:t>
      </w:r>
      <w:r w:rsidRPr="00844A28">
        <w:rPr>
          <w:rFonts w:ascii="Times New Roman" w:eastAsia="Times New Roman" w:hAnsi="Times New Roman" w:cs="Times New Roman"/>
          <w:color w:val="000000"/>
          <w:sz w:val="21"/>
          <w:szCs w:val="21"/>
        </w:rPr>
        <w:t xml:space="preserve"> </w:t>
      </w:r>
      <w:r>
        <w:t xml:space="preserve">for more information, </w:t>
      </w:r>
      <w:r w:rsidRPr="00844A28">
        <w:t>(609) 250-8608</w:t>
      </w:r>
      <w:r>
        <w:t xml:space="preserve">. </w:t>
      </w:r>
    </w:p>
    <w:p w14:paraId="70B03144" w14:textId="537A3CEB" w:rsidR="00844A28" w:rsidRPr="00844A28" w:rsidRDefault="00844A28">
      <w:r>
        <w:t>*Please note: HR and Recruitment Modules must be enabled to access this feature.</w:t>
      </w:r>
    </w:p>
    <w:p w14:paraId="37F464C4" w14:textId="77777777" w:rsidR="00F92FD3" w:rsidRPr="00CD7B18" w:rsidRDefault="00F92FD3">
      <w:pPr>
        <w:rPr>
          <w:b/>
          <w:bCs/>
        </w:rPr>
      </w:pPr>
      <w:r w:rsidRPr="00CD7B18">
        <w:rPr>
          <w:b/>
          <w:bCs/>
        </w:rPr>
        <w:t>Links:</w:t>
      </w:r>
    </w:p>
    <w:p w14:paraId="48D3D9E1" w14:textId="457ED705" w:rsidR="00F92FD3" w:rsidRDefault="00F92FD3">
      <w:r>
        <w:t xml:space="preserve">DOL:  </w:t>
      </w:r>
      <w:hyperlink r:id="rId4" w:history="1">
        <w:r w:rsidRPr="00CD29B7">
          <w:rPr>
            <w:rStyle w:val="Hyperlink"/>
          </w:rPr>
          <w:t>https://www.dol.gov/agencies/eta/wotc</w:t>
        </w:r>
      </w:hyperlink>
    </w:p>
    <w:p w14:paraId="082CD967" w14:textId="0841E1FE" w:rsidR="00F92FD3" w:rsidRDefault="00F92FD3">
      <w:r>
        <w:t xml:space="preserve">Fact Sheet: </w:t>
      </w:r>
      <w:hyperlink r:id="rId5" w:history="1">
        <w:r w:rsidRPr="00CD29B7">
          <w:rPr>
            <w:rStyle w:val="Hyperlink"/>
          </w:rPr>
          <w:t>https://www.dol.gov/sites/dolgov/files/ETA/wotc/pdfs/WOTC-Fact-Sheet-2024.pdf</w:t>
        </w:r>
      </w:hyperlink>
    </w:p>
    <w:p w14:paraId="2AED4B18" w14:textId="63A64099" w:rsidR="00C2324A" w:rsidRDefault="00C2324A">
      <w:r>
        <w:t xml:space="preserve">WOTC Targeted groups and FAQs: </w:t>
      </w:r>
      <w:hyperlink r:id="rId6" w:history="1">
        <w:r w:rsidRPr="00CD29B7">
          <w:rPr>
            <w:rStyle w:val="Hyperlink"/>
          </w:rPr>
          <w:t>https://www.irs.gov/businesses/small-businesses-self-employed/work-opportunity-tax-credit</w:t>
        </w:r>
      </w:hyperlink>
    </w:p>
    <w:p w14:paraId="571314CD" w14:textId="314AD9EC" w:rsidR="00391F89" w:rsidRDefault="00391F89"/>
    <w:sectPr w:rsidR="0039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53"/>
    <w:rsid w:val="00091F53"/>
    <w:rsid w:val="000C5BCB"/>
    <w:rsid w:val="001A6F00"/>
    <w:rsid w:val="00391F89"/>
    <w:rsid w:val="00754808"/>
    <w:rsid w:val="00844A28"/>
    <w:rsid w:val="009843B8"/>
    <w:rsid w:val="00A73A80"/>
    <w:rsid w:val="00AC3B96"/>
    <w:rsid w:val="00AE0653"/>
    <w:rsid w:val="00C2324A"/>
    <w:rsid w:val="00CD7B18"/>
    <w:rsid w:val="00D374F6"/>
    <w:rsid w:val="00DF3406"/>
    <w:rsid w:val="00F40784"/>
    <w:rsid w:val="00F92FD3"/>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D9AA"/>
  <w15:chartTrackingRefBased/>
  <w15:docId w15:val="{13122D46-F5EC-4836-9D7C-7DA0F837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53"/>
    <w:rPr>
      <w:rFonts w:eastAsiaTheme="majorEastAsia" w:cstheme="majorBidi"/>
      <w:color w:val="272727" w:themeColor="text1" w:themeTint="D8"/>
    </w:rPr>
  </w:style>
  <w:style w:type="paragraph" w:styleId="Title">
    <w:name w:val="Title"/>
    <w:basedOn w:val="Normal"/>
    <w:next w:val="Normal"/>
    <w:link w:val="TitleChar"/>
    <w:uiPriority w:val="10"/>
    <w:qFormat/>
    <w:rsid w:val="0009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53"/>
    <w:pPr>
      <w:spacing w:before="160"/>
      <w:jc w:val="center"/>
    </w:pPr>
    <w:rPr>
      <w:i/>
      <w:iCs/>
      <w:color w:val="404040" w:themeColor="text1" w:themeTint="BF"/>
    </w:rPr>
  </w:style>
  <w:style w:type="character" w:customStyle="1" w:styleId="QuoteChar">
    <w:name w:val="Quote Char"/>
    <w:basedOn w:val="DefaultParagraphFont"/>
    <w:link w:val="Quote"/>
    <w:uiPriority w:val="29"/>
    <w:rsid w:val="00091F53"/>
    <w:rPr>
      <w:i/>
      <w:iCs/>
      <w:color w:val="404040" w:themeColor="text1" w:themeTint="BF"/>
    </w:rPr>
  </w:style>
  <w:style w:type="paragraph" w:styleId="ListParagraph">
    <w:name w:val="List Paragraph"/>
    <w:basedOn w:val="Normal"/>
    <w:uiPriority w:val="34"/>
    <w:qFormat/>
    <w:rsid w:val="00091F53"/>
    <w:pPr>
      <w:ind w:left="720"/>
      <w:contextualSpacing/>
    </w:pPr>
  </w:style>
  <w:style w:type="character" w:styleId="IntenseEmphasis">
    <w:name w:val="Intense Emphasis"/>
    <w:basedOn w:val="DefaultParagraphFont"/>
    <w:uiPriority w:val="21"/>
    <w:qFormat/>
    <w:rsid w:val="00091F53"/>
    <w:rPr>
      <w:i/>
      <w:iCs/>
      <w:color w:val="0F4761" w:themeColor="accent1" w:themeShade="BF"/>
    </w:rPr>
  </w:style>
  <w:style w:type="paragraph" w:styleId="IntenseQuote">
    <w:name w:val="Intense Quote"/>
    <w:basedOn w:val="Normal"/>
    <w:next w:val="Normal"/>
    <w:link w:val="IntenseQuoteChar"/>
    <w:uiPriority w:val="30"/>
    <w:qFormat/>
    <w:rsid w:val="0009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53"/>
    <w:rPr>
      <w:i/>
      <w:iCs/>
      <w:color w:val="0F4761" w:themeColor="accent1" w:themeShade="BF"/>
    </w:rPr>
  </w:style>
  <w:style w:type="character" w:styleId="IntenseReference">
    <w:name w:val="Intense Reference"/>
    <w:basedOn w:val="DefaultParagraphFont"/>
    <w:uiPriority w:val="32"/>
    <w:qFormat/>
    <w:rsid w:val="00091F53"/>
    <w:rPr>
      <w:b/>
      <w:bCs/>
      <w:smallCaps/>
      <w:color w:val="0F4761" w:themeColor="accent1" w:themeShade="BF"/>
      <w:spacing w:val="5"/>
    </w:rPr>
  </w:style>
  <w:style w:type="character" w:styleId="Hyperlink">
    <w:name w:val="Hyperlink"/>
    <w:basedOn w:val="DefaultParagraphFont"/>
    <w:uiPriority w:val="99"/>
    <w:unhideWhenUsed/>
    <w:rsid w:val="00F92FD3"/>
    <w:rPr>
      <w:color w:val="467886" w:themeColor="hyperlink"/>
      <w:u w:val="single"/>
    </w:rPr>
  </w:style>
  <w:style w:type="character" w:styleId="UnresolvedMention">
    <w:name w:val="Unresolved Mention"/>
    <w:basedOn w:val="DefaultParagraphFont"/>
    <w:uiPriority w:val="99"/>
    <w:semiHidden/>
    <w:unhideWhenUsed/>
    <w:rsid w:val="00F9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s.gov/businesses/small-businesses-self-employed/work-opportunity-tax-credit" TargetMode="External"/><Relationship Id="rId5" Type="http://schemas.openxmlformats.org/officeDocument/2006/relationships/hyperlink" Target="https://www.dol.gov/sites/dolgov/files/ETA/wotc/pdfs/WOTC-Fact-Sheet-2024.pdf" TargetMode="External"/><Relationship Id="rId4" Type="http://schemas.openxmlformats.org/officeDocument/2006/relationships/hyperlink" Target="https://www.dol.gov/agencies/eta/w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Melvin</dc:creator>
  <cp:keywords/>
  <dc:description/>
  <cp:lastModifiedBy>Lauren Hall</cp:lastModifiedBy>
  <cp:revision>2</cp:revision>
  <dcterms:created xsi:type="dcterms:W3CDTF">2025-09-03T15:30:00Z</dcterms:created>
  <dcterms:modified xsi:type="dcterms:W3CDTF">2025-09-03T15:30:00Z</dcterms:modified>
</cp:coreProperties>
</file>